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CAB25C" w14:textId="5DEB2E95" w:rsidR="007107DD" w:rsidRPr="00BB5725" w:rsidRDefault="007107DD" w:rsidP="00BB5725">
      <w:pPr>
        <w:pStyle w:val="Normalny1"/>
        <w:spacing w:after="240" w:line="240" w:lineRule="auto"/>
        <w:jc w:val="right"/>
        <w:rPr>
          <w:rFonts w:asciiTheme="majorHAnsi" w:hAnsiTheme="majorHAnsi"/>
          <w:sz w:val="20"/>
          <w:szCs w:val="20"/>
        </w:rPr>
      </w:pPr>
      <w:r w:rsidRPr="00BB5725">
        <w:rPr>
          <w:rFonts w:asciiTheme="majorHAnsi" w:hAnsiTheme="majorHAnsi"/>
          <w:sz w:val="20"/>
          <w:szCs w:val="20"/>
        </w:rPr>
        <w:t xml:space="preserve">Warszawa, </w:t>
      </w:r>
      <w:r w:rsidR="00DA10BA">
        <w:rPr>
          <w:rFonts w:asciiTheme="majorHAnsi" w:hAnsiTheme="majorHAnsi"/>
          <w:sz w:val="20"/>
          <w:szCs w:val="20"/>
        </w:rPr>
        <w:t>31.08.2020</w:t>
      </w:r>
      <w:r w:rsidRPr="00BB5725">
        <w:rPr>
          <w:rFonts w:asciiTheme="majorHAnsi" w:hAnsiTheme="majorHAnsi"/>
          <w:sz w:val="20"/>
          <w:szCs w:val="20"/>
        </w:rPr>
        <w:t xml:space="preserve"> r.</w:t>
      </w:r>
    </w:p>
    <w:p w14:paraId="4F982707" w14:textId="27CBF4C4" w:rsidR="00DA10BA" w:rsidRPr="003D0A7A" w:rsidRDefault="003D0A7A" w:rsidP="00DA10BA">
      <w:pPr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</w:pPr>
      <w:r w:rsidRPr="003D0A7A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Komentarz eksperta: Po</w:t>
      </w:r>
      <w:r w:rsidR="00DA10BA" w:rsidRPr="003D0A7A">
        <w:rPr>
          <w:rFonts w:asciiTheme="majorHAnsi" w:hAnsiTheme="majorHAnsi" w:cstheme="majorHAnsi"/>
          <w:b/>
          <w:bCs/>
        </w:rPr>
        <w:t>dsumowanie sierpnia na rynkach: poza spółkami technologicznymi, trudno było znaleźć motory wzrostu</w:t>
      </w:r>
    </w:p>
    <w:p w14:paraId="609779F8" w14:textId="77777777" w:rsidR="00DA10BA" w:rsidRPr="00DA10BA" w:rsidRDefault="00DA10BA" w:rsidP="00DA10BA">
      <w:pPr>
        <w:rPr>
          <w:b/>
          <w:bCs/>
        </w:rPr>
      </w:pPr>
      <w:r w:rsidRPr="00DA10BA">
        <w:rPr>
          <w:b/>
          <w:bCs/>
        </w:rPr>
        <w:t xml:space="preserve">Sierpień był miesiącem, w którym rynki akcji, przynajmniej zagraniczne, kolejny miesiąc wzrosły.  pomimo istniejącym i w dalszym ciągu aktualnym przesłankom do rynkowej korekty. Patrząc na rynek z perspektywy Stanów Zjednoczonych, po wynikach największych technologicznych spółek trudno było znaleźć kolejne motory wzrostu na nowojorskiej giełdzie. </w:t>
      </w:r>
    </w:p>
    <w:p w14:paraId="2E2F0838" w14:textId="77777777" w:rsidR="00DA10BA" w:rsidRPr="003E6CC0" w:rsidRDefault="00DA10BA" w:rsidP="00DA10BA">
      <w:pPr>
        <w:rPr>
          <w:b/>
          <w:bCs/>
        </w:rPr>
      </w:pPr>
      <w:r w:rsidRPr="003E6CC0">
        <w:rPr>
          <w:b/>
          <w:bCs/>
        </w:rPr>
        <w:t xml:space="preserve">Kontynuacja wzrostów na Wall </w:t>
      </w:r>
      <w:proofErr w:type="spellStart"/>
      <w:r w:rsidRPr="003E6CC0">
        <w:rPr>
          <w:b/>
          <w:bCs/>
        </w:rPr>
        <w:t>Street</w:t>
      </w:r>
      <w:proofErr w:type="spellEnd"/>
    </w:p>
    <w:p w14:paraId="5D5B201D" w14:textId="77777777" w:rsidR="00DA10BA" w:rsidRDefault="00DA10BA" w:rsidP="00DA10BA">
      <w:r>
        <w:t xml:space="preserve">Jak łatwo się jednak domyślić, scenariusz wzrostowy był kontynuowany. Do prącego w górę w kierunku kolejnych rekordów indeksu spółek technologicznych </w:t>
      </w:r>
      <w:proofErr w:type="spellStart"/>
      <w:r>
        <w:t>Nasdaq</w:t>
      </w:r>
      <w:proofErr w:type="spellEnd"/>
      <w:r>
        <w:t xml:space="preserve"> dołączył szeroki rynek w postaci S&amp;P 500, który najpierw odrobił wszystkie epidemiczne straty, by później kolejno, rozprawić się z historycznymi szczytami na poziomach 3400 i 3500 punktów. Warto dodać, że amerykański rynek spółek technologicznych jest już warty więcej, niż cały europejski rynek akcji. Dla porównania i podkreślenia zmian w rozkładzie największych spółek na przestrzeni lat, w roku 2007, czyli 13 lat temu, europejskie spółki były warte 4 razy więcej od rosnących wówczas dopiero w siłę amerykańskich gigantów z branży IT. Ciężko, aby było inaczej, skoro amerykański </w:t>
      </w:r>
      <w:proofErr w:type="spellStart"/>
      <w:r>
        <w:t>Nasdaq</w:t>
      </w:r>
      <w:proofErr w:type="spellEnd"/>
      <w:r>
        <w:t xml:space="preserve"> od początku roku jest już ponad 30% na plusie, zaś od wybuchu pandemii ponad 50%. Trudno się zresztą dziwić, gdy przykładowo Amazon od początku roku jest na 80% plusie, zaś walory Tesli wzrosły o ponad 400%. Patrząc chociażby na te dwie wartości i porównując sytuację z pandemicznym otoczeniem i gospodarczą recesją, nie da się nie myśleć o możliwej korekcie. Ta jednak jak na razie nie ma zamiaru nadejść. </w:t>
      </w:r>
    </w:p>
    <w:p w14:paraId="0BEBD53A" w14:textId="77777777" w:rsidR="00DA10BA" w:rsidRPr="003E6CC0" w:rsidRDefault="00DA10BA" w:rsidP="00DA10BA">
      <w:pPr>
        <w:rPr>
          <w:b/>
          <w:bCs/>
        </w:rPr>
      </w:pPr>
      <w:r w:rsidRPr="003E6CC0">
        <w:rPr>
          <w:b/>
          <w:bCs/>
        </w:rPr>
        <w:t xml:space="preserve">Wsparcie ze strony </w:t>
      </w:r>
      <w:proofErr w:type="spellStart"/>
      <w:r w:rsidRPr="003E6CC0">
        <w:rPr>
          <w:b/>
          <w:bCs/>
        </w:rPr>
        <w:t>Fed</w:t>
      </w:r>
      <w:proofErr w:type="spellEnd"/>
    </w:p>
    <w:p w14:paraId="715FB9A1" w14:textId="77777777" w:rsidR="00DA10BA" w:rsidRDefault="00DA10BA" w:rsidP="00DA10BA">
      <w:r>
        <w:t xml:space="preserve">Duże znaczenie ma tutaj polityka monetarna na świecie i niespotykana wcześniej ilość pieniądza na rynku. Pod koniec miesiąca amerykański </w:t>
      </w:r>
      <w:proofErr w:type="spellStart"/>
      <w:r>
        <w:t>Fed</w:t>
      </w:r>
      <w:proofErr w:type="spellEnd"/>
      <w:r>
        <w:t xml:space="preserve"> potwierdził nowe podejście do ustalania stóp procentowych, gdzie do zadań banku centralnego będzie należała walka zarówno z wysoką, jak również z niską inflacją. W praktyce oznacza to utrzymanie stóp procentowych na niskim poziomie przez dłuższy czas. </w:t>
      </w:r>
    </w:p>
    <w:p w14:paraId="00615219" w14:textId="77777777" w:rsidR="00DA10BA" w:rsidRPr="003E6CC0" w:rsidRDefault="00DA10BA" w:rsidP="00DA10BA">
      <w:pPr>
        <w:rPr>
          <w:b/>
          <w:bCs/>
        </w:rPr>
      </w:pPr>
      <w:r>
        <w:rPr>
          <w:b/>
          <w:bCs/>
        </w:rPr>
        <w:t>Wciąż</w:t>
      </w:r>
      <w:r w:rsidRPr="003E6CC0">
        <w:rPr>
          <w:b/>
          <w:bCs/>
        </w:rPr>
        <w:t xml:space="preserve"> aktualne czynniki ryzyka</w:t>
      </w:r>
    </w:p>
    <w:p w14:paraId="30973F42" w14:textId="77777777" w:rsidR="00DA10BA" w:rsidRDefault="00DA10BA" w:rsidP="00DA10BA">
      <w:r>
        <w:t xml:space="preserve">Z drugiej jednak strony jest wiele czynników, które mogą ciążyć rynkowi. Jednym z nich są wyceny, które już dawno oderwały się od historycznych średnich i to pomimo dobrych wyników części spółek za II kwartał. Ciążyć może sytuacja w USA i przedwyborcza polaryzacja sceny politycznej, czego efektem może być blokada kolejnych pakietów pomocowych w kongresie. Ciążyć może również druga fala pandemii, jeśli takowa nadejdzie. I przede wszystkim ciężarem ciągnącym w dół notowania indeksów może być dalsze zaostrzenie sytuacji na linii USA – Chiny, również w kontekście pojedynku Joe Biden – Donald </w:t>
      </w:r>
      <w:proofErr w:type="spellStart"/>
      <w:r>
        <w:t>Trump</w:t>
      </w:r>
      <w:proofErr w:type="spellEnd"/>
      <w:r>
        <w:t xml:space="preserve">. Jeśli przypomnimy sobie przyczyny spadków z 2018 roku, dziś wydają się one być trywialne. Sytuacja polityczna i gospodarcza była dużo prostsza. A rynki również były na historycznych (ówczesnych) szczytach. </w:t>
      </w:r>
    </w:p>
    <w:p w14:paraId="356286F8" w14:textId="77777777" w:rsidR="00DA10BA" w:rsidRPr="003E6CC0" w:rsidRDefault="00DA10BA" w:rsidP="00DA10BA">
      <w:pPr>
        <w:rPr>
          <w:b/>
          <w:bCs/>
        </w:rPr>
      </w:pPr>
      <w:r w:rsidRPr="003E6CC0">
        <w:rPr>
          <w:b/>
          <w:bCs/>
        </w:rPr>
        <w:t>Krajowy rynek nie uczestniczył w globalnych wzrostach</w:t>
      </w:r>
    </w:p>
    <w:p w14:paraId="1FE09E9B" w14:textId="77777777" w:rsidR="00DA10BA" w:rsidRDefault="00DA10BA" w:rsidP="00DA10BA">
      <w:r>
        <w:t xml:space="preserve">Zostawiając na chwilę sytuację na rynkach zagranicznych, spójrzmy na krajowe podwórko. WIG20 w </w:t>
      </w:r>
      <w:r>
        <w:lastRenderedPageBreak/>
        <w:t xml:space="preserve">dalszym ciągu nie może wyjść z czerwcowej konsolidacji wokół poziomu 1800 punktów. W sierpniu pomagały wzrosty CD Projektu, który zyskał ok. 10% na fali ogłoszenia kolejnej, tym razem mobilnej wersji Wiedźmina. A dodajmy, że w połowie miesiąca indeks był bardzo blisko przełamania impasu i ruchu w górę w kierunku 1900, zabrakło jednak siły po stronie popytowej. Ciążyły tradycyjnie energetyka i sektor bankowy. Średnie spółki po raz kolejny flirtują z lokalnymi szczytami, ale na razie również brakuje sił do dalszej drogi w górę. Dość ciekawa jest za to sytuacja w sektorze małych spółek, które po tegorocznym triumfalnym marszu w górę, w ostatnim miesiącu wyhamowały wzrost. Pisząc o małych spółkach, myślę również przede wszystkim o małych inwestorach, którzy w ostatnich miesiącach gremialnie pojawili się na krajowym rynku (lub też na niego powrócili). </w:t>
      </w:r>
    </w:p>
    <w:p w14:paraId="073150DE" w14:textId="77777777" w:rsidR="00DA10BA" w:rsidRPr="003E6CC0" w:rsidRDefault="00DA10BA" w:rsidP="00DA10BA">
      <w:pPr>
        <w:rPr>
          <w:b/>
          <w:bCs/>
        </w:rPr>
      </w:pPr>
      <w:r w:rsidRPr="003E6CC0">
        <w:rPr>
          <w:b/>
          <w:bCs/>
        </w:rPr>
        <w:t xml:space="preserve">Recesyjny odczyt PKB za II kwartał </w:t>
      </w:r>
    </w:p>
    <w:p w14:paraId="09F7FCBD" w14:textId="77777777" w:rsidR="00DA10BA" w:rsidRDefault="00DA10BA" w:rsidP="00DA10BA">
      <w:r>
        <w:t>Koniec miesiąca przywitał nas finalną publikacją odczytu krajowego PKB za II kwartał. Za najsilniejszy w historii, 8,9% spadek krajowej gospodarki odpowiadały, zgodnie z oczekiwaniami, przede wszystkim silne spadki konsumpcji i inwestycji. Pod znakiem zapytania są jak na razie odczyty konsumpcji za III kwartał, gdy część Polaków powróciła do w miarę normalnego funkcjonowania.</w:t>
      </w:r>
    </w:p>
    <w:p w14:paraId="09A798F5" w14:textId="77777777" w:rsidR="00DA10BA" w:rsidRPr="003E6CC0" w:rsidRDefault="00DA10BA" w:rsidP="00DA10BA">
      <w:pPr>
        <w:rPr>
          <w:b/>
          <w:bCs/>
        </w:rPr>
      </w:pPr>
      <w:r w:rsidRPr="003E6CC0">
        <w:rPr>
          <w:b/>
          <w:bCs/>
        </w:rPr>
        <w:t>Wątpliwości odnośnie kontynuacji wzrostów do końca roku</w:t>
      </w:r>
    </w:p>
    <w:p w14:paraId="7DA3AE9D" w14:textId="6B639CB4" w:rsidR="00DA10BA" w:rsidRDefault="00DA10BA" w:rsidP="00DA10BA">
      <w:r>
        <w:t xml:space="preserve">Przed nami ostatni miesiąc kwartału. Pytanie, czy w tym roku nie opłacało się bardziej kupić w maju i sprzedać w październiku, idąc nieco w kontrze do starego giełdowego porzekadła. Chociaż obecny rok jest na tyle niestandardowy, że każde rozwiązanie wydaje się być równie możliwe. </w:t>
      </w:r>
    </w:p>
    <w:p w14:paraId="677F8AEB" w14:textId="22D15C1A" w:rsidR="003D0A7A" w:rsidRPr="003D0A7A" w:rsidRDefault="003D0A7A" w:rsidP="00DA10BA">
      <w:pPr>
        <w:rPr>
          <w:b/>
          <w:bCs/>
          <w:i/>
          <w:iCs/>
        </w:rPr>
      </w:pPr>
      <w:r w:rsidRPr="003D0A7A">
        <w:rPr>
          <w:b/>
          <w:bCs/>
          <w:i/>
          <w:iCs/>
        </w:rPr>
        <w:t xml:space="preserve">Autor: Kamil </w:t>
      </w:r>
      <w:proofErr w:type="spellStart"/>
      <w:r w:rsidRPr="003D0A7A">
        <w:rPr>
          <w:b/>
          <w:bCs/>
          <w:i/>
          <w:iCs/>
        </w:rPr>
        <w:t>Hajdamowicz</w:t>
      </w:r>
      <w:proofErr w:type="spellEnd"/>
      <w:r w:rsidRPr="003D0A7A">
        <w:rPr>
          <w:b/>
          <w:bCs/>
          <w:i/>
          <w:iCs/>
        </w:rPr>
        <w:t xml:space="preserve">, zarządzający aktywami </w:t>
      </w:r>
      <w:proofErr w:type="spellStart"/>
      <w:r w:rsidRPr="003D0A7A">
        <w:rPr>
          <w:b/>
          <w:bCs/>
          <w:i/>
          <w:iCs/>
        </w:rPr>
        <w:t>Vienna</w:t>
      </w:r>
      <w:proofErr w:type="spellEnd"/>
      <w:r w:rsidRPr="003D0A7A">
        <w:rPr>
          <w:b/>
          <w:bCs/>
          <w:i/>
          <w:iCs/>
        </w:rPr>
        <w:t xml:space="preserve"> Life TU na Życie S.A. </w:t>
      </w:r>
      <w:proofErr w:type="spellStart"/>
      <w:r w:rsidRPr="003D0A7A">
        <w:rPr>
          <w:b/>
          <w:bCs/>
          <w:i/>
          <w:iCs/>
        </w:rPr>
        <w:t>Vienna</w:t>
      </w:r>
      <w:proofErr w:type="spellEnd"/>
      <w:r w:rsidRPr="003D0A7A">
        <w:rPr>
          <w:b/>
          <w:bCs/>
          <w:i/>
          <w:iCs/>
        </w:rPr>
        <w:t xml:space="preserve"> </w:t>
      </w:r>
      <w:proofErr w:type="spellStart"/>
      <w:r w:rsidRPr="003D0A7A">
        <w:rPr>
          <w:b/>
          <w:bCs/>
          <w:i/>
          <w:iCs/>
        </w:rPr>
        <w:t>Insurance</w:t>
      </w:r>
      <w:proofErr w:type="spellEnd"/>
      <w:r w:rsidRPr="003D0A7A">
        <w:rPr>
          <w:b/>
          <w:bCs/>
          <w:i/>
          <w:iCs/>
        </w:rPr>
        <w:t xml:space="preserve"> </w:t>
      </w:r>
      <w:proofErr w:type="spellStart"/>
      <w:r w:rsidRPr="003D0A7A">
        <w:rPr>
          <w:b/>
          <w:bCs/>
          <w:i/>
          <w:iCs/>
        </w:rPr>
        <w:t>Group</w:t>
      </w:r>
      <w:proofErr w:type="spellEnd"/>
    </w:p>
    <w:p w14:paraId="0D1AB286" w14:textId="77777777" w:rsidR="00540967" w:rsidRPr="00DD5284" w:rsidRDefault="00540967" w:rsidP="00540967">
      <w:pPr>
        <w:widowControl/>
        <w:spacing w:after="0" w:line="240" w:lineRule="auto"/>
        <w:jc w:val="both"/>
        <w:rPr>
          <w:rFonts w:asciiTheme="majorHAnsi" w:eastAsiaTheme="minorEastAsia" w:hAnsiTheme="majorHAnsi" w:cstheme="minorBidi"/>
          <w:color w:val="auto"/>
          <w:sz w:val="20"/>
          <w:szCs w:val="20"/>
        </w:rPr>
      </w:pPr>
    </w:p>
    <w:p w14:paraId="543F66C4" w14:textId="77777777" w:rsidR="003A455B" w:rsidRPr="00DD5284" w:rsidRDefault="003A455B" w:rsidP="000D01ED">
      <w:pPr>
        <w:spacing w:after="24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DD5284">
        <w:rPr>
          <w:rFonts w:asciiTheme="majorHAnsi" w:hAnsiTheme="majorHAnsi"/>
          <w:color w:val="auto"/>
          <w:sz w:val="20"/>
          <w:szCs w:val="20"/>
        </w:rPr>
        <w:t>***</w:t>
      </w:r>
    </w:p>
    <w:p w14:paraId="1F564DDD" w14:textId="77777777"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powstała w 1999 roku</w:t>
      </w:r>
      <w:r w:rsidR="009D68A6" w:rsidRPr="00DD5284">
        <w:rPr>
          <w:rFonts w:asciiTheme="majorHAnsi" w:hAnsiTheme="majorHAnsi"/>
          <w:color w:val="auto"/>
          <w:sz w:val="20"/>
          <w:szCs w:val="20"/>
        </w:rPr>
        <w:t>.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specjalizuje się w ubezpieczeniach na życie z ubezpieczeniowym funduszem kapitałowym oraz tradycyjnych ubezpieczeniach na życie. Klientom umożliwia uzyskiwanie w dłuższym horyzoncie czasowym niezależności finansowej, a tym samym realizację ważnych celów życiowych. Więcej informacji: </w:t>
      </w:r>
      <w:hyperlink r:id="rId7">
        <w:r w:rsidRPr="00DD5284">
          <w:rPr>
            <w:rFonts w:asciiTheme="majorHAnsi" w:hAnsiTheme="majorHAnsi"/>
            <w:color w:val="auto"/>
            <w:sz w:val="20"/>
            <w:szCs w:val="20"/>
          </w:rPr>
          <w:t>www.viennalife.pl</w:t>
        </w:r>
      </w:hyperlink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14:paraId="4CF5D6E6" w14:textId="77777777"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(VIG)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jest wiodącym specjalistycznym koncernem ubezpieczeniowym w Austrii i w Europie Środkowo-Wschodniej. Należy do niego około 50 spółek w 25 krajach. Jest to koncern o długiej tradycji, posiadający mocne marki i przykładający dużą wagę do bliskości z klientem. VIG opiera swoją działalność na fundamencie 190-letniego doświadczenia w branży ubezpieczeń.</w:t>
      </w:r>
    </w:p>
    <w:p w14:paraId="0E421790" w14:textId="77777777" w:rsidR="003A455B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z blisko 25 tysiącami pracowników jest bezsprzecznym liderem na kluczowych rynkach koncernu i dzięki temu posiada doskonałą pozycję rynkową umożliwiającą wykorzystanie długofalowych szans wzrostu w regionie zamieszkiwanym przez 180 mln ludzi. Notowana na giełdzie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jest firmą o najwyższym ratingu z wszystkich spółek głównego indeksu ATX giełdy wiedeńskiej; akcje VIG notowane są także na giełdzie w Pradze. Więcej informacji: </w:t>
      </w:r>
      <w:hyperlink r:id="rId8">
        <w:r w:rsidRPr="00DD5284">
          <w:rPr>
            <w:rFonts w:asciiTheme="majorHAnsi" w:hAnsiTheme="majorHAnsi"/>
            <w:color w:val="auto"/>
            <w:sz w:val="20"/>
            <w:szCs w:val="20"/>
          </w:rPr>
          <w:t>www.vig-polska.pl</w:t>
        </w:r>
      </w:hyperlink>
    </w:p>
    <w:p w14:paraId="188EB945" w14:textId="77777777" w:rsidR="00E85795" w:rsidRPr="00DD5284" w:rsidRDefault="00E85795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36664A42" w14:textId="77777777" w:rsidR="00770427" w:rsidRPr="00DD5284" w:rsidRDefault="003A455B" w:rsidP="000D01ED">
      <w:pPr>
        <w:spacing w:after="240" w:line="240" w:lineRule="auto"/>
        <w:rPr>
          <w:rFonts w:asciiTheme="majorHAnsi" w:hAnsiTheme="majorHAnsi"/>
          <w:b/>
          <w:color w:val="auto"/>
          <w:sz w:val="20"/>
          <w:szCs w:val="20"/>
        </w:rPr>
      </w:pPr>
      <w:r w:rsidRPr="00DD5284">
        <w:rPr>
          <w:rFonts w:asciiTheme="majorHAnsi" w:hAnsiTheme="majorHAnsi"/>
          <w:b/>
          <w:color w:val="auto"/>
          <w:sz w:val="20"/>
          <w:szCs w:val="20"/>
        </w:rPr>
        <w:t>Kontakt dla mediów:</w:t>
      </w:r>
      <w:r w:rsidR="000D01ED" w:rsidRPr="00DD5284">
        <w:rPr>
          <w:rFonts w:asciiTheme="majorHAnsi" w:hAnsiTheme="majorHAnsi"/>
          <w:b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Biuro Prasowe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>Anna Borowiec</w:t>
      </w:r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WALK PR |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tel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>: +48 519 020 880</w:t>
      </w:r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>e-mail: viennalife@pressoffice24.pl</w:t>
      </w:r>
    </w:p>
    <w:sectPr w:rsidR="00770427" w:rsidRPr="00DD5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56D9" w14:textId="77777777" w:rsidR="005C520B" w:rsidRDefault="005C520B">
      <w:pPr>
        <w:spacing w:after="0" w:line="240" w:lineRule="auto"/>
      </w:pPr>
      <w:r>
        <w:separator/>
      </w:r>
    </w:p>
  </w:endnote>
  <w:endnote w:type="continuationSeparator" w:id="0">
    <w:p w14:paraId="4AC14E8F" w14:textId="77777777" w:rsidR="005C520B" w:rsidRDefault="005C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9CAA" w14:textId="77777777" w:rsidR="00DA10BA" w:rsidRDefault="00DA10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A9D0" w14:textId="77777777" w:rsidR="00DA10BA" w:rsidRDefault="00DA10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56F7" w14:textId="77777777" w:rsidR="00DA10BA" w:rsidRDefault="00DA1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DD18" w14:textId="77777777" w:rsidR="005C520B" w:rsidRDefault="005C520B">
      <w:pPr>
        <w:spacing w:after="0" w:line="240" w:lineRule="auto"/>
      </w:pPr>
      <w:r>
        <w:separator/>
      </w:r>
    </w:p>
  </w:footnote>
  <w:footnote w:type="continuationSeparator" w:id="0">
    <w:p w14:paraId="78CFF168" w14:textId="77777777" w:rsidR="005C520B" w:rsidRDefault="005C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C55B" w14:textId="77777777" w:rsidR="00DA10BA" w:rsidRDefault="00DA10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4A03" w14:textId="77777777" w:rsidR="00F87D53" w:rsidRDefault="00F87D53">
    <w:pPr>
      <w:pStyle w:val="Normalny1"/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  <w:lang w:val="en-US"/>
      </w:rPr>
      <w:drawing>
        <wp:inline distT="0" distB="0" distL="0" distR="0" wp14:anchorId="597FC495" wp14:editId="15A567F7">
          <wp:extent cx="1711526" cy="969180"/>
          <wp:effectExtent l="0" t="0" r="0" b="0"/>
          <wp:docPr id="1" name="image01.png" descr="Macintosh HD:Users:walk:Desktop:Vienna Li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walk:Desktop:Vienna Li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526" cy="96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F7EA" w14:textId="77777777" w:rsidR="00DA10BA" w:rsidRDefault="00DA1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370C"/>
    <w:multiLevelType w:val="hybridMultilevel"/>
    <w:tmpl w:val="3ED2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1A90"/>
    <w:multiLevelType w:val="hybridMultilevel"/>
    <w:tmpl w:val="F0467596"/>
    <w:lvl w:ilvl="0" w:tplc="FE94424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0D34"/>
    <w:multiLevelType w:val="multilevel"/>
    <w:tmpl w:val="7DF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B0D6E"/>
    <w:multiLevelType w:val="hybridMultilevel"/>
    <w:tmpl w:val="CB5A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27"/>
    <w:rsid w:val="000161A8"/>
    <w:rsid w:val="000220C9"/>
    <w:rsid w:val="00027803"/>
    <w:rsid w:val="00033D54"/>
    <w:rsid w:val="00035083"/>
    <w:rsid w:val="0004078D"/>
    <w:rsid w:val="0004342B"/>
    <w:rsid w:val="00052CF6"/>
    <w:rsid w:val="00090E0B"/>
    <w:rsid w:val="000923FF"/>
    <w:rsid w:val="000A0E0A"/>
    <w:rsid w:val="000B1897"/>
    <w:rsid w:val="000D01ED"/>
    <w:rsid w:val="000D725E"/>
    <w:rsid w:val="000E75EE"/>
    <w:rsid w:val="00107503"/>
    <w:rsid w:val="001266B6"/>
    <w:rsid w:val="00141C54"/>
    <w:rsid w:val="00141F8E"/>
    <w:rsid w:val="001447BF"/>
    <w:rsid w:val="00147B53"/>
    <w:rsid w:val="00167403"/>
    <w:rsid w:val="00172A36"/>
    <w:rsid w:val="00186E0F"/>
    <w:rsid w:val="0019132A"/>
    <w:rsid w:val="0019693A"/>
    <w:rsid w:val="001A0875"/>
    <w:rsid w:val="0020422F"/>
    <w:rsid w:val="00237899"/>
    <w:rsid w:val="00240E03"/>
    <w:rsid w:val="00250CD8"/>
    <w:rsid w:val="00275A65"/>
    <w:rsid w:val="00276F11"/>
    <w:rsid w:val="0028568D"/>
    <w:rsid w:val="0029042C"/>
    <w:rsid w:val="002A0D03"/>
    <w:rsid w:val="002C341D"/>
    <w:rsid w:val="002D6B58"/>
    <w:rsid w:val="002E1509"/>
    <w:rsid w:val="002E356F"/>
    <w:rsid w:val="002F47B9"/>
    <w:rsid w:val="0030143E"/>
    <w:rsid w:val="00303A7A"/>
    <w:rsid w:val="00305D93"/>
    <w:rsid w:val="0031072F"/>
    <w:rsid w:val="00320B50"/>
    <w:rsid w:val="003304E4"/>
    <w:rsid w:val="00345B88"/>
    <w:rsid w:val="0034634E"/>
    <w:rsid w:val="003608A8"/>
    <w:rsid w:val="003735D4"/>
    <w:rsid w:val="00382091"/>
    <w:rsid w:val="00387944"/>
    <w:rsid w:val="00392A2C"/>
    <w:rsid w:val="003A455B"/>
    <w:rsid w:val="003A68F1"/>
    <w:rsid w:val="003B0C8A"/>
    <w:rsid w:val="003C5032"/>
    <w:rsid w:val="003D0A7A"/>
    <w:rsid w:val="003D2896"/>
    <w:rsid w:val="003F356A"/>
    <w:rsid w:val="003F6C17"/>
    <w:rsid w:val="00462F4C"/>
    <w:rsid w:val="004655A7"/>
    <w:rsid w:val="004666E1"/>
    <w:rsid w:val="00492CA6"/>
    <w:rsid w:val="00495A9D"/>
    <w:rsid w:val="004A0F9A"/>
    <w:rsid w:val="004A38D0"/>
    <w:rsid w:val="004B21B6"/>
    <w:rsid w:val="004C5B0C"/>
    <w:rsid w:val="004F27D9"/>
    <w:rsid w:val="00501A21"/>
    <w:rsid w:val="00511F30"/>
    <w:rsid w:val="00515194"/>
    <w:rsid w:val="00516BAC"/>
    <w:rsid w:val="00522A0E"/>
    <w:rsid w:val="005349BA"/>
    <w:rsid w:val="00536B3B"/>
    <w:rsid w:val="00540967"/>
    <w:rsid w:val="00552F50"/>
    <w:rsid w:val="0056206C"/>
    <w:rsid w:val="00565255"/>
    <w:rsid w:val="00565D13"/>
    <w:rsid w:val="00584929"/>
    <w:rsid w:val="00586397"/>
    <w:rsid w:val="005910B7"/>
    <w:rsid w:val="00594CE0"/>
    <w:rsid w:val="005976D2"/>
    <w:rsid w:val="005A3895"/>
    <w:rsid w:val="005C520B"/>
    <w:rsid w:val="005E66AB"/>
    <w:rsid w:val="005F64ED"/>
    <w:rsid w:val="006204BB"/>
    <w:rsid w:val="00627F6D"/>
    <w:rsid w:val="006421F9"/>
    <w:rsid w:val="0065598E"/>
    <w:rsid w:val="00671AE2"/>
    <w:rsid w:val="00687AFA"/>
    <w:rsid w:val="006A796C"/>
    <w:rsid w:val="006B299E"/>
    <w:rsid w:val="006D4480"/>
    <w:rsid w:val="006D7DFD"/>
    <w:rsid w:val="0070546B"/>
    <w:rsid w:val="007107DD"/>
    <w:rsid w:val="00711A1F"/>
    <w:rsid w:val="007211A7"/>
    <w:rsid w:val="0072580F"/>
    <w:rsid w:val="00754A08"/>
    <w:rsid w:val="0076748A"/>
    <w:rsid w:val="00770427"/>
    <w:rsid w:val="00776619"/>
    <w:rsid w:val="007A4C48"/>
    <w:rsid w:val="007B712A"/>
    <w:rsid w:val="007D7838"/>
    <w:rsid w:val="00800E98"/>
    <w:rsid w:val="008133D7"/>
    <w:rsid w:val="008143EF"/>
    <w:rsid w:val="008161D2"/>
    <w:rsid w:val="0081720D"/>
    <w:rsid w:val="00827B6A"/>
    <w:rsid w:val="00844E3A"/>
    <w:rsid w:val="00870B64"/>
    <w:rsid w:val="00870DA3"/>
    <w:rsid w:val="00877821"/>
    <w:rsid w:val="00880FBD"/>
    <w:rsid w:val="008862A6"/>
    <w:rsid w:val="008A18EF"/>
    <w:rsid w:val="008D0FF9"/>
    <w:rsid w:val="00903567"/>
    <w:rsid w:val="0090635D"/>
    <w:rsid w:val="0091157B"/>
    <w:rsid w:val="00914E20"/>
    <w:rsid w:val="00915689"/>
    <w:rsid w:val="009162DE"/>
    <w:rsid w:val="00920D50"/>
    <w:rsid w:val="009642AA"/>
    <w:rsid w:val="009857A7"/>
    <w:rsid w:val="009873C9"/>
    <w:rsid w:val="009B2DAC"/>
    <w:rsid w:val="009C3C61"/>
    <w:rsid w:val="009D01FD"/>
    <w:rsid w:val="009D5059"/>
    <w:rsid w:val="009D674C"/>
    <w:rsid w:val="009D68A6"/>
    <w:rsid w:val="009D6D75"/>
    <w:rsid w:val="009E3940"/>
    <w:rsid w:val="009E5814"/>
    <w:rsid w:val="009F2622"/>
    <w:rsid w:val="009F763C"/>
    <w:rsid w:val="00A00088"/>
    <w:rsid w:val="00A00ACE"/>
    <w:rsid w:val="00A01A80"/>
    <w:rsid w:val="00A0350D"/>
    <w:rsid w:val="00A100EE"/>
    <w:rsid w:val="00A22908"/>
    <w:rsid w:val="00A44648"/>
    <w:rsid w:val="00A60810"/>
    <w:rsid w:val="00A82F3A"/>
    <w:rsid w:val="00A92474"/>
    <w:rsid w:val="00AA02F7"/>
    <w:rsid w:val="00AA7384"/>
    <w:rsid w:val="00AA77CF"/>
    <w:rsid w:val="00AB2084"/>
    <w:rsid w:val="00AC4172"/>
    <w:rsid w:val="00AD0F90"/>
    <w:rsid w:val="00AD6A42"/>
    <w:rsid w:val="00AE1244"/>
    <w:rsid w:val="00AE2AC2"/>
    <w:rsid w:val="00AE5D97"/>
    <w:rsid w:val="00B47564"/>
    <w:rsid w:val="00B555FE"/>
    <w:rsid w:val="00B6201A"/>
    <w:rsid w:val="00B70F42"/>
    <w:rsid w:val="00B72455"/>
    <w:rsid w:val="00B75C04"/>
    <w:rsid w:val="00B76954"/>
    <w:rsid w:val="00B80EA5"/>
    <w:rsid w:val="00BB5725"/>
    <w:rsid w:val="00BC2789"/>
    <w:rsid w:val="00BC4BEC"/>
    <w:rsid w:val="00BC4F3C"/>
    <w:rsid w:val="00BD3929"/>
    <w:rsid w:val="00BD6237"/>
    <w:rsid w:val="00BD73AB"/>
    <w:rsid w:val="00BF20A3"/>
    <w:rsid w:val="00BF666C"/>
    <w:rsid w:val="00C042D2"/>
    <w:rsid w:val="00C10D29"/>
    <w:rsid w:val="00C23C64"/>
    <w:rsid w:val="00C40EBF"/>
    <w:rsid w:val="00C42D8D"/>
    <w:rsid w:val="00C6315D"/>
    <w:rsid w:val="00C80F11"/>
    <w:rsid w:val="00C921E7"/>
    <w:rsid w:val="00CA172F"/>
    <w:rsid w:val="00CC24A0"/>
    <w:rsid w:val="00CD13F5"/>
    <w:rsid w:val="00CE7F89"/>
    <w:rsid w:val="00D048AA"/>
    <w:rsid w:val="00D14B70"/>
    <w:rsid w:val="00D37C81"/>
    <w:rsid w:val="00D44E1A"/>
    <w:rsid w:val="00D52BEC"/>
    <w:rsid w:val="00D6228A"/>
    <w:rsid w:val="00D64EBD"/>
    <w:rsid w:val="00D73192"/>
    <w:rsid w:val="00D91662"/>
    <w:rsid w:val="00D92D2F"/>
    <w:rsid w:val="00DA0FB2"/>
    <w:rsid w:val="00DA10BA"/>
    <w:rsid w:val="00DB442D"/>
    <w:rsid w:val="00DD5284"/>
    <w:rsid w:val="00E27FDC"/>
    <w:rsid w:val="00E34801"/>
    <w:rsid w:val="00E37AC6"/>
    <w:rsid w:val="00E451C7"/>
    <w:rsid w:val="00E61563"/>
    <w:rsid w:val="00E67918"/>
    <w:rsid w:val="00E85795"/>
    <w:rsid w:val="00ED026C"/>
    <w:rsid w:val="00EE27A5"/>
    <w:rsid w:val="00EE6934"/>
    <w:rsid w:val="00F13023"/>
    <w:rsid w:val="00F257EF"/>
    <w:rsid w:val="00F44412"/>
    <w:rsid w:val="00F4482D"/>
    <w:rsid w:val="00F6420A"/>
    <w:rsid w:val="00F71B42"/>
    <w:rsid w:val="00F7559B"/>
    <w:rsid w:val="00F8738B"/>
    <w:rsid w:val="00F87D53"/>
    <w:rsid w:val="00FB494B"/>
    <w:rsid w:val="00FF16E9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EB01E"/>
  <w15:docId w15:val="{9797527D-2E61-CD46-A4E0-A872EB6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A9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9D"/>
    <w:rPr>
      <w:rFonts w:ascii="Lucida Grande CE" w:hAnsi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92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9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E0F"/>
    <w:pPr>
      <w:widowControl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72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639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397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863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7D9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27D9"/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rsid w:val="00D14B70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B5725"/>
    <w:pPr>
      <w:widowControl/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A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-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kand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Ksiazek, Agnieszka</dc:creator>
  <cp:lastModifiedBy>Natalia Wykrota</cp:lastModifiedBy>
  <cp:revision>3</cp:revision>
  <dcterms:created xsi:type="dcterms:W3CDTF">2020-08-31T10:53:00Z</dcterms:created>
  <dcterms:modified xsi:type="dcterms:W3CDTF">2020-08-31T11:15:00Z</dcterms:modified>
</cp:coreProperties>
</file>